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69" w:rsidRDefault="00A069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800" w:type="dxa"/>
        <w:tblLayout w:type="fixed"/>
        <w:tblLook w:val="0400" w:firstRow="0" w:lastRow="0" w:firstColumn="0" w:lastColumn="0" w:noHBand="0" w:noVBand="1"/>
      </w:tblPr>
      <w:tblGrid>
        <w:gridCol w:w="5721"/>
        <w:gridCol w:w="5079"/>
      </w:tblGrid>
      <w:tr w:rsidR="00A06969">
        <w:trPr>
          <w:trHeight w:val="860"/>
        </w:trPr>
        <w:tc>
          <w:tcPr>
            <w:tcW w:w="5721" w:type="dxa"/>
            <w:vAlign w:val="bottom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595959"/>
                <w:sz w:val="72"/>
                <w:szCs w:val="72"/>
              </w:rPr>
            </w:pPr>
            <w:r>
              <w:rPr>
                <w:color w:val="595959"/>
                <w:sz w:val="72"/>
                <w:szCs w:val="72"/>
              </w:rPr>
              <w:t>August</w:t>
            </w:r>
          </w:p>
        </w:tc>
        <w:tc>
          <w:tcPr>
            <w:tcW w:w="5079" w:type="dxa"/>
            <w:shd w:val="clear" w:color="auto" w:fill="592057"/>
            <w:vAlign w:val="bottom"/>
          </w:tcPr>
          <w:p w:rsidR="00A06969" w:rsidRDefault="00A06969"/>
        </w:tc>
      </w:tr>
      <w:tr w:rsidR="00A06969">
        <w:tc>
          <w:tcPr>
            <w:tcW w:w="5721" w:type="dxa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421741"/>
                <w:sz w:val="92"/>
                <w:szCs w:val="92"/>
              </w:rPr>
            </w:pPr>
            <w:r>
              <w:rPr>
                <w:color w:val="421741"/>
                <w:sz w:val="92"/>
                <w:szCs w:val="92"/>
              </w:rPr>
              <w:t>201</w:t>
            </w:r>
            <w:r>
              <w:rPr>
                <w:color w:val="421741"/>
                <w:sz w:val="92"/>
                <w:szCs w:val="92"/>
              </w:rPr>
              <w:t>9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A06969" w:rsidRDefault="00B37CEF">
            <w:r>
              <w:rPr>
                <w:noProof/>
              </w:rPr>
              <w:drawing>
                <wp:inline distT="0" distB="0" distL="0" distR="0">
                  <wp:extent cx="3227832" cy="1956816"/>
                  <wp:effectExtent l="0" t="0" r="0" b="0"/>
                  <wp:docPr id="1" name="image1.jpg" descr="C:\Users\Steph\AppData\Local\Microsoft\Windows\Temporary Internet Files\Content.IE5\GOGP5C0B\MPj04331960000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Steph\AppData\Local\Microsoft\Windows\Temporary Internet Files\Content.IE5\GOGP5C0B\MPj04331960000[1].jpg"/>
                          <pic:cNvPicPr preferRelativeResize="0"/>
                        </pic:nvPicPr>
                        <pic:blipFill>
                          <a:blip r:embed="rId4"/>
                          <a:srcRect b="9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969">
        <w:trPr>
          <w:trHeight w:val="280"/>
        </w:trPr>
        <w:tc>
          <w:tcPr>
            <w:tcW w:w="5721" w:type="dxa"/>
          </w:tcPr>
          <w:p w:rsidR="00A06969" w:rsidRDefault="00A06969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color w:val="595959"/>
              </w:rPr>
            </w:pPr>
            <w:r>
              <w:rPr>
                <w:b/>
                <w:color w:val="595959"/>
              </w:rPr>
              <w:t xml:space="preserve">Always Trust in Yourself. </w:t>
            </w:r>
          </w:p>
        </w:tc>
      </w:tr>
    </w:tbl>
    <w:p w:rsidR="00A06969" w:rsidRDefault="00A0696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b/>
          <w:color w:val="595959"/>
        </w:rPr>
      </w:pPr>
    </w:p>
    <w:tbl>
      <w:tblPr>
        <w:tblStyle w:val="a0"/>
        <w:tblW w:w="107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V w:val="single" w:sz="4" w:space="0" w:color="595959"/>
        </w:tblBorders>
        <w:tblLayout w:type="fixed"/>
        <w:tblLook w:val="0420" w:firstRow="1" w:lastRow="0" w:firstColumn="0" w:lastColumn="0" w:noHBand="0" w:noVBand="1"/>
      </w:tblPr>
      <w:tblGrid>
        <w:gridCol w:w="1536"/>
        <w:gridCol w:w="1540"/>
        <w:gridCol w:w="1540"/>
        <w:gridCol w:w="1558"/>
        <w:gridCol w:w="1438"/>
        <w:gridCol w:w="1634"/>
        <w:gridCol w:w="1544"/>
      </w:tblGrid>
      <w:tr w:rsidR="00A06969" w:rsidTr="00A06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/>
            </w:tcBorders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Sunday</w:t>
            </w:r>
          </w:p>
        </w:tc>
        <w:tc>
          <w:tcPr>
            <w:tcW w:w="1540" w:type="dxa"/>
            <w:tcBorders>
              <w:bottom w:val="single" w:sz="4" w:space="0" w:color="595959"/>
            </w:tcBorders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Monday</w:t>
            </w:r>
          </w:p>
        </w:tc>
        <w:tc>
          <w:tcPr>
            <w:tcW w:w="1540" w:type="dxa"/>
            <w:tcBorders>
              <w:bottom w:val="single" w:sz="4" w:space="0" w:color="595959"/>
            </w:tcBorders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Tuesday</w:t>
            </w:r>
          </w:p>
        </w:tc>
        <w:tc>
          <w:tcPr>
            <w:tcW w:w="1558" w:type="dxa"/>
            <w:tcBorders>
              <w:bottom w:val="single" w:sz="4" w:space="0" w:color="595959"/>
            </w:tcBorders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Wednesday</w:t>
            </w:r>
          </w:p>
        </w:tc>
        <w:tc>
          <w:tcPr>
            <w:tcW w:w="1438" w:type="dxa"/>
            <w:tcBorders>
              <w:bottom w:val="single" w:sz="4" w:space="0" w:color="595959"/>
            </w:tcBorders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Thursday</w:t>
            </w:r>
          </w:p>
        </w:tc>
        <w:tc>
          <w:tcPr>
            <w:tcW w:w="1634" w:type="dxa"/>
            <w:tcBorders>
              <w:bottom w:val="single" w:sz="4" w:space="0" w:color="595959"/>
            </w:tcBorders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Friday</w:t>
            </w:r>
          </w:p>
        </w:tc>
        <w:tc>
          <w:tcPr>
            <w:tcW w:w="1544" w:type="dxa"/>
            <w:tcBorders>
              <w:bottom w:val="single" w:sz="4" w:space="0" w:color="595959"/>
            </w:tcBorders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>Saturday</w:t>
            </w:r>
          </w:p>
        </w:tc>
      </w:tr>
      <w:tr w:rsidR="00A06969" w:rsidTr="00A06969">
        <w:tc>
          <w:tcPr>
            <w:tcW w:w="1536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58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</w:t>
            </w: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</w:t>
            </w: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3</w:t>
            </w:r>
          </w:p>
        </w:tc>
      </w:tr>
      <w:tr w:rsidR="00A06969" w:rsidTr="00B37CEF">
        <w:trPr>
          <w:trHeight w:val="234"/>
        </w:trPr>
        <w:tc>
          <w:tcPr>
            <w:tcW w:w="1536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558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</w:tr>
      <w:tr w:rsidR="00A06969" w:rsidTr="00A06969">
        <w:tc>
          <w:tcPr>
            <w:tcW w:w="1536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4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5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6</w:t>
            </w:r>
          </w:p>
        </w:tc>
        <w:tc>
          <w:tcPr>
            <w:tcW w:w="1558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7</w:t>
            </w: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8</w:t>
            </w: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9</w:t>
            </w: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</w:t>
            </w:r>
            <w:r>
              <w:rPr>
                <w:color w:val="595959"/>
              </w:rPr>
              <w:t>0</w:t>
            </w:r>
          </w:p>
        </w:tc>
      </w:tr>
      <w:tr w:rsidR="00A06969" w:rsidTr="00A06969">
        <w:trPr>
          <w:trHeight w:val="860"/>
        </w:trPr>
        <w:tc>
          <w:tcPr>
            <w:tcW w:w="1536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558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  <w:p w:rsidR="00A06969" w:rsidRDefault="00A06969">
            <w:pPr>
              <w:jc w:val="center"/>
            </w:pPr>
          </w:p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</w:tr>
      <w:tr w:rsidR="00A06969" w:rsidTr="00A06969">
        <w:tc>
          <w:tcPr>
            <w:tcW w:w="1536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</w:rPr>
            </w:pPr>
            <w:r>
              <w:rPr>
                <w:color w:val="595959"/>
              </w:rPr>
              <w:t xml:space="preserve">                    11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12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</w:t>
            </w:r>
            <w:r>
              <w:rPr>
                <w:color w:val="595959"/>
              </w:rPr>
              <w:t>3</w:t>
            </w:r>
          </w:p>
        </w:tc>
        <w:tc>
          <w:tcPr>
            <w:tcW w:w="1558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14</w:t>
            </w: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15</w:t>
            </w: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</w:t>
            </w:r>
            <w:r>
              <w:rPr>
                <w:color w:val="595959"/>
              </w:rPr>
              <w:t>6</w:t>
            </w: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17</w:t>
            </w:r>
          </w:p>
        </w:tc>
      </w:tr>
      <w:tr w:rsidR="00A06969" w:rsidTr="00A06969">
        <w:trPr>
          <w:trHeight w:val="760"/>
        </w:trPr>
        <w:tc>
          <w:tcPr>
            <w:tcW w:w="1536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558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B37CEF">
            <w:pPr>
              <w:jc w:val="center"/>
            </w:pPr>
            <w:r>
              <w:t>First Day of School</w:t>
            </w:r>
          </w:p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  <w:p w:rsidR="00A06969" w:rsidRDefault="00A06969"/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  <w:p w:rsidR="00A06969" w:rsidRDefault="00A06969"/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</w:tr>
      <w:tr w:rsidR="00A06969" w:rsidTr="00A06969">
        <w:tc>
          <w:tcPr>
            <w:tcW w:w="1536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18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19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20</w:t>
            </w:r>
          </w:p>
        </w:tc>
        <w:tc>
          <w:tcPr>
            <w:tcW w:w="1558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</w:t>
            </w:r>
            <w:r>
              <w:rPr>
                <w:color w:val="595959"/>
              </w:rPr>
              <w:t>1</w:t>
            </w: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22</w:t>
            </w: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</w:t>
            </w:r>
            <w:r>
              <w:rPr>
                <w:color w:val="595959"/>
              </w:rPr>
              <w:t>3</w:t>
            </w: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</w:t>
            </w:r>
            <w:r>
              <w:rPr>
                <w:color w:val="595959"/>
              </w:rPr>
              <w:t>4</w:t>
            </w:r>
          </w:p>
        </w:tc>
      </w:tr>
      <w:tr w:rsidR="00A06969" w:rsidTr="00A06969">
        <w:trPr>
          <w:trHeight w:val="860"/>
        </w:trPr>
        <w:tc>
          <w:tcPr>
            <w:tcW w:w="1536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B37CEF">
            <w:r>
              <w:t>Reading  Pearson Part 1 Assessment</w:t>
            </w:r>
          </w:p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B37CEF">
            <w:r>
              <w:t>Reading  Pearson Part 2 Assessment</w:t>
            </w:r>
          </w:p>
        </w:tc>
        <w:tc>
          <w:tcPr>
            <w:tcW w:w="1558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B37CEF">
            <w:r>
              <w:t>Math Pearson Assessment</w:t>
            </w:r>
          </w:p>
          <w:p w:rsidR="00A06969" w:rsidRDefault="00B37CEF">
            <w:r>
              <w:t>Writing assessment</w:t>
            </w:r>
          </w:p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B37CEF">
            <w:r>
              <w:t>Math routine begins</w:t>
            </w:r>
          </w:p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>
            <w:bookmarkStart w:id="1" w:name="_gjdgxs" w:colFirst="0" w:colLast="0"/>
            <w:bookmarkEnd w:id="1"/>
          </w:p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</w:tr>
      <w:tr w:rsidR="00A06969" w:rsidTr="00A06969">
        <w:tc>
          <w:tcPr>
            <w:tcW w:w="1536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</w:t>
            </w:r>
            <w:r>
              <w:rPr>
                <w:color w:val="595959"/>
              </w:rPr>
              <w:t>5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26</w:t>
            </w: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27</w:t>
            </w:r>
          </w:p>
        </w:tc>
        <w:tc>
          <w:tcPr>
            <w:tcW w:w="1558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28</w:t>
            </w: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FFFFFF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29</w:t>
            </w: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30</w:t>
            </w: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auto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  <w:r>
              <w:rPr>
                <w:color w:val="595959"/>
              </w:rPr>
              <w:t>31</w:t>
            </w:r>
          </w:p>
        </w:tc>
      </w:tr>
      <w:tr w:rsidR="00A06969" w:rsidTr="00A06969">
        <w:trPr>
          <w:trHeight w:val="860"/>
        </w:trPr>
        <w:tc>
          <w:tcPr>
            <w:tcW w:w="1536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B37CEF">
            <w:r>
              <w:t>Reading and Writing Routine Begins</w:t>
            </w:r>
          </w:p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B37CEF">
            <w:r>
              <w:t>Science Assessment</w:t>
            </w:r>
          </w:p>
        </w:tc>
        <w:tc>
          <w:tcPr>
            <w:tcW w:w="1558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A06969"/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FFFFFF"/>
          </w:tcPr>
          <w:p w:rsidR="00A06969" w:rsidRDefault="00B37CEF">
            <w:r>
              <w:t xml:space="preserve">Finley's Birthday! </w:t>
            </w:r>
          </w:p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A06969" w:rsidRDefault="00A06969"/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auto"/>
          </w:tcPr>
          <w:p w:rsidR="00A06969" w:rsidRDefault="00A06969"/>
        </w:tc>
      </w:tr>
      <w:tr w:rsidR="00A06969" w:rsidTr="00A06969">
        <w:tc>
          <w:tcPr>
            <w:tcW w:w="1536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40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58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438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634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  <w:tc>
          <w:tcPr>
            <w:tcW w:w="1544" w:type="dxa"/>
            <w:tcBorders>
              <w:top w:val="single" w:sz="4" w:space="0" w:color="595959"/>
              <w:bottom w:val="nil"/>
            </w:tcBorders>
            <w:shd w:val="clear" w:color="auto" w:fill="D58CD3"/>
          </w:tcPr>
          <w:p w:rsidR="00A06969" w:rsidRDefault="00A06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595959"/>
              </w:rPr>
            </w:pPr>
          </w:p>
        </w:tc>
      </w:tr>
      <w:tr w:rsidR="00A06969" w:rsidTr="00A06969">
        <w:trPr>
          <w:trHeight w:val="300"/>
        </w:trPr>
        <w:tc>
          <w:tcPr>
            <w:tcW w:w="1536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540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558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438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634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  <w:tc>
          <w:tcPr>
            <w:tcW w:w="1544" w:type="dxa"/>
            <w:tcBorders>
              <w:top w:val="nil"/>
              <w:bottom w:val="single" w:sz="4" w:space="0" w:color="595959"/>
            </w:tcBorders>
            <w:shd w:val="clear" w:color="auto" w:fill="D58CD3"/>
          </w:tcPr>
          <w:p w:rsidR="00A06969" w:rsidRDefault="00A06969"/>
        </w:tc>
      </w:tr>
    </w:tbl>
    <w:p w:rsidR="00A06969" w:rsidRDefault="00A06969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</w:rPr>
      </w:pPr>
    </w:p>
    <w:tbl>
      <w:tblPr>
        <w:tblStyle w:val="a1"/>
        <w:tblW w:w="1080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A06969">
        <w:trPr>
          <w:trHeight w:val="2140"/>
        </w:trPr>
        <w:tc>
          <w:tcPr>
            <w:tcW w:w="1800" w:type="dxa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rPr>
                <w:b/>
                <w:color w:val="D58CD3"/>
              </w:rPr>
            </w:pPr>
            <w:r>
              <w:rPr>
                <w:b/>
                <w:color w:val="D58CD3"/>
              </w:rPr>
              <w:t>Welcome to 2</w:t>
            </w:r>
            <w:r>
              <w:rPr>
                <w:b/>
                <w:color w:val="D58CD3"/>
                <w:vertAlign w:val="superscript"/>
              </w:rPr>
              <w:t>nd</w:t>
            </w:r>
            <w:r>
              <w:rPr>
                <w:b/>
                <w:color w:val="D58CD3"/>
              </w:rPr>
              <w:t xml:space="preserve"> Grade! </w:t>
            </w:r>
          </w:p>
        </w:tc>
        <w:tc>
          <w:tcPr>
            <w:tcW w:w="1800" w:type="dxa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 have beginning of year readin</w:t>
            </w:r>
            <w:r>
              <w:rPr>
                <w:b/>
                <w:color w:val="FFFFFF"/>
              </w:rPr>
              <w:t>g,</w:t>
            </w:r>
            <w:r>
              <w:rPr>
                <w:b/>
                <w:color w:val="FFFFFF"/>
              </w:rPr>
              <w:t xml:space="preserve"> writing, science</w:t>
            </w:r>
            <w:r>
              <w:rPr>
                <w:b/>
                <w:color w:val="FFFFFF"/>
              </w:rPr>
              <w:t xml:space="preserve">, </w:t>
            </w:r>
            <w:r>
              <w:rPr>
                <w:b/>
                <w:color w:val="FFFFFF"/>
              </w:rPr>
              <w:t>math tests, and reading and math fluency checks to administer the</w:t>
            </w:r>
            <w:r>
              <w:rPr>
                <w:b/>
                <w:color w:val="FFFFFF"/>
              </w:rPr>
              <w:t xml:space="preserve"> first two weeks of school.</w:t>
            </w: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800" w:type="dxa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rPr>
                <w:b/>
                <w:color w:val="D58CD3"/>
              </w:rPr>
            </w:pPr>
            <w:r>
              <w:rPr>
                <w:b/>
                <w:color w:val="D58CD3"/>
              </w:rPr>
              <w:t>Tests are the base that we measure growth from your child. The same test is taken in the middle of the year and at the end of the year.</w:t>
            </w:r>
          </w:p>
        </w:tc>
        <w:tc>
          <w:tcPr>
            <w:tcW w:w="1800" w:type="dxa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The beginning of the year math tests happens in one day. We will begin our normal math routine starting August </w:t>
            </w:r>
            <w:r>
              <w:rPr>
                <w:b/>
                <w:color w:val="FFFFFF"/>
              </w:rPr>
              <w:t>22nd.</w:t>
            </w:r>
          </w:p>
        </w:tc>
        <w:tc>
          <w:tcPr>
            <w:tcW w:w="1800" w:type="dxa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rPr>
                <w:b/>
                <w:color w:val="D58CD3"/>
              </w:rPr>
            </w:pPr>
            <w:r>
              <w:rPr>
                <w:b/>
                <w:color w:val="D58CD3"/>
              </w:rPr>
              <w:t>Sco</w:t>
            </w:r>
            <w:r>
              <w:rPr>
                <w:b/>
                <w:color w:val="D58CD3"/>
              </w:rPr>
              <w:t xml:space="preserve">res of these baselines will not be sent home, but we will discuss them in quarter 1 conference to show student growth. </w:t>
            </w:r>
          </w:p>
        </w:tc>
        <w:tc>
          <w:tcPr>
            <w:tcW w:w="1800" w:type="dxa"/>
          </w:tcPr>
          <w:p w:rsidR="00A06969" w:rsidRDefault="00B3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 may request scores, but please be patient because scoring is a lengthy process.</w:t>
            </w:r>
          </w:p>
        </w:tc>
      </w:tr>
    </w:tbl>
    <w:p w:rsidR="00A06969" w:rsidRDefault="00A06969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sectPr w:rsidR="00A06969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9"/>
    <w:rsid w:val="00A06969"/>
    <w:rsid w:val="00B3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55E18D-E819-497F-9041-FA046514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42174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592057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592057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b/>
      <w:i/>
      <w:color w:val="592057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color w:val="2C0F2B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i/>
      <w:color w:val="2C0F2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592057"/>
    </w:tcPr>
    <w:tblStylePr w:type="firstRow">
      <w:tblPr/>
      <w:tcPr>
        <w:shd w:val="clear" w:color="auto" w:fill="D9D9D9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59205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Usma-Ramirez</cp:lastModifiedBy>
  <cp:revision>3</cp:revision>
  <dcterms:created xsi:type="dcterms:W3CDTF">2019-08-21T16:59:00Z</dcterms:created>
  <dcterms:modified xsi:type="dcterms:W3CDTF">2019-08-21T16:59:00Z</dcterms:modified>
</cp:coreProperties>
</file>